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01" w:line="226" w:lineRule="auto"/>
        <w:ind w:left="2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color w:val="4B4B4B"/>
          <w:spacing w:val="-4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color w:val="4B4B4B"/>
          <w:spacing w:val="-4"/>
          <w:sz w:val="31"/>
          <w:szCs w:val="31"/>
        </w:rPr>
        <w:t>2</w:t>
      </w:r>
    </w:p>
    <w:p>
      <w:pPr>
        <w:spacing w:before="55" w:line="208" w:lineRule="auto"/>
        <w:ind w:left="2651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典型案例报送体例</w:t>
      </w:r>
    </w:p>
    <w:bookmarkEnd w:id="0"/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0" w:line="225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一、案例体例</w:t>
      </w:r>
    </w:p>
    <w:p>
      <w:pPr>
        <w:spacing w:before="162" w:line="229" w:lineRule="auto"/>
        <w:ind w:left="636"/>
        <w:outlineLvl w:val="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8"/>
          <w:sz w:val="31"/>
          <w:szCs w:val="31"/>
        </w:rPr>
        <w:t>（一）标题</w:t>
      </w:r>
    </w:p>
    <w:p>
      <w:pPr>
        <w:pStyle w:val="2"/>
        <w:spacing w:before="155" w:line="219" w:lineRule="auto"/>
        <w:ind w:left="650"/>
      </w:pPr>
      <w:r>
        <w:rPr>
          <w:spacing w:val="8"/>
        </w:rPr>
        <w:t>准确、生动展示省内高校服务乡村振兴的举措成效。</w:t>
      </w:r>
    </w:p>
    <w:p>
      <w:pPr>
        <w:spacing w:before="173" w:line="221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（二）基本情况</w:t>
      </w:r>
    </w:p>
    <w:p>
      <w:pPr>
        <w:pStyle w:val="2"/>
        <w:spacing w:before="166" w:line="311" w:lineRule="auto"/>
        <w:ind w:left="2" w:firstLine="639"/>
      </w:pPr>
      <w:r>
        <w:rPr>
          <w:spacing w:val="16"/>
        </w:rPr>
        <w:t>提纲挈领总结案例内容，介绍帮扶对象基本情况、资源禀</w:t>
      </w:r>
      <w:r>
        <w:rPr>
          <w:spacing w:val="17"/>
        </w:rPr>
        <w:t xml:space="preserve"> </w:t>
      </w:r>
      <w:r>
        <w:rPr>
          <w:spacing w:val="16"/>
        </w:rPr>
        <w:t>赋和各校帮扶背景、特色优势等，说明服务乡村振兴的工作起</w:t>
      </w:r>
      <w:r>
        <w:rPr>
          <w:spacing w:val="5"/>
        </w:rPr>
        <w:t xml:space="preserve"> </w:t>
      </w:r>
      <w:r>
        <w:rPr>
          <w:spacing w:val="8"/>
        </w:rPr>
        <w:t>因、难点问题、预期目标等。</w:t>
      </w:r>
    </w:p>
    <w:p>
      <w:pPr>
        <w:spacing w:before="56" w:line="224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（三）实施进展</w:t>
      </w:r>
    </w:p>
    <w:p>
      <w:pPr>
        <w:pStyle w:val="2"/>
        <w:spacing w:before="161" w:line="311" w:lineRule="auto"/>
        <w:ind w:left="13" w:firstLine="630"/>
      </w:pPr>
      <w:r>
        <w:rPr>
          <w:spacing w:val="16"/>
        </w:rPr>
        <w:t>采用以小见大的手法，选取项目开展过程中有代表性的小</w:t>
      </w:r>
      <w:r>
        <w:rPr>
          <w:spacing w:val="15"/>
        </w:rPr>
        <w:t xml:space="preserve"> </w:t>
      </w:r>
      <w:r>
        <w:rPr>
          <w:spacing w:val="16"/>
        </w:rPr>
        <w:t>故事，通过细节描述和具体生动的情节，展开详</w:t>
      </w:r>
      <w:r>
        <w:rPr>
          <w:spacing w:val="15"/>
        </w:rPr>
        <w:t>细叙述，利用</w:t>
      </w:r>
      <w:r>
        <w:t xml:space="preserve"> </w:t>
      </w:r>
      <w:r>
        <w:rPr>
          <w:spacing w:val="7"/>
        </w:rPr>
        <w:t>具体事例彰显各高校的付出和努力。</w:t>
      </w:r>
    </w:p>
    <w:p>
      <w:pPr>
        <w:spacing w:before="57" w:line="222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（四）主要特点</w:t>
      </w:r>
    </w:p>
    <w:p>
      <w:pPr>
        <w:pStyle w:val="2"/>
        <w:spacing w:before="168" w:line="310" w:lineRule="auto"/>
        <w:ind w:left="3" w:firstLine="678"/>
      </w:pPr>
      <w:r>
        <w:rPr>
          <w:spacing w:val="15"/>
        </w:rPr>
        <w:t>图文并茂展示工作特点及预期目标完成情况等，多用数据</w:t>
      </w:r>
      <w:r>
        <w:rPr>
          <w:spacing w:val="3"/>
        </w:rPr>
        <w:t xml:space="preserve"> </w:t>
      </w:r>
      <w:r>
        <w:rPr>
          <w:spacing w:val="16"/>
        </w:rPr>
        <w:t>说话，多展示推进过程中渐进式变化，充分反映各高校服务乡</w:t>
      </w:r>
      <w:r>
        <w:rPr>
          <w:spacing w:val="4"/>
        </w:rPr>
        <w:t xml:space="preserve"> </w:t>
      </w:r>
      <w:r>
        <w:rPr>
          <w:spacing w:val="7"/>
        </w:rPr>
        <w:t>村振兴带来的巨大变化。</w:t>
      </w:r>
    </w:p>
    <w:p>
      <w:pPr>
        <w:spacing w:before="56" w:line="219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（五）成效经验及下一步考虑</w:t>
      </w:r>
    </w:p>
    <w:p>
      <w:pPr>
        <w:pStyle w:val="2"/>
        <w:spacing w:before="173" w:line="305" w:lineRule="auto"/>
        <w:ind w:left="1" w:right="63" w:firstLine="647"/>
      </w:pPr>
      <w:r>
        <w:rPr>
          <w:spacing w:val="14"/>
        </w:rPr>
        <w:t>在实践的基础上梳理归纳高校服务乡村振兴的实现路</w:t>
      </w:r>
      <w:r>
        <w:rPr>
          <w:spacing w:val="13"/>
        </w:rPr>
        <w:t>径、</w:t>
      </w:r>
      <w:r>
        <w:t xml:space="preserve"> </w:t>
      </w:r>
      <w:r>
        <w:rPr>
          <w:spacing w:val="8"/>
        </w:rPr>
        <w:t>机制模式、经验建议等。</w:t>
      </w:r>
    </w:p>
    <w:p>
      <w:pPr>
        <w:spacing w:before="55" w:line="224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二、案例要求</w:t>
      </w:r>
    </w:p>
    <w:p>
      <w:pPr>
        <w:spacing w:before="164" w:line="225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8"/>
          <w:sz w:val="31"/>
          <w:szCs w:val="31"/>
        </w:rPr>
        <w:t>（一）格式</w:t>
      </w:r>
    </w:p>
    <w:p>
      <w:pPr>
        <w:pStyle w:val="2"/>
        <w:spacing w:before="163" w:line="221" w:lineRule="auto"/>
        <w:ind w:left="669"/>
      </w:pP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spacing w:val="4"/>
        </w:rPr>
        <w:t>标题：黑体，小二。</w:t>
      </w:r>
    </w:p>
    <w:p>
      <w:pPr>
        <w:spacing w:line="221" w:lineRule="auto"/>
        <w:sectPr>
          <w:footerReference r:id="rId5" w:type="default"/>
          <w:pgSz w:w="11883" w:h="16860"/>
          <w:pgMar w:top="1433" w:right="1532" w:bottom="1191" w:left="1539" w:header="0" w:footer="913" w:gutter="0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640"/>
      </w:pPr>
      <w:r>
        <w:rPr>
          <w:rFonts w:ascii="Times New Roman" w:hAnsi="Times New Roman" w:eastAsia="Times New Roman" w:cs="Times New Roman"/>
          <w:spacing w:val="5"/>
        </w:rPr>
        <w:t>2.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5"/>
        </w:rPr>
        <w:t>一级标题：黑体，三号。</w:t>
      </w:r>
    </w:p>
    <w:p>
      <w:pPr>
        <w:pStyle w:val="2"/>
        <w:spacing w:before="170" w:line="311" w:lineRule="auto"/>
        <w:ind w:left="639" w:right="2367" w:firstLine="7"/>
      </w:pPr>
      <w:r>
        <w:rPr>
          <w:rFonts w:ascii="Times New Roman" w:hAnsi="Times New Roman" w:eastAsia="Times New Roman" w:cs="Times New Roman"/>
          <w:spacing w:val="6"/>
        </w:rPr>
        <w:t>3.</w:t>
      </w:r>
      <w:r>
        <w:rPr>
          <w:spacing w:val="6"/>
        </w:rPr>
        <w:t>二级标题：楷体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6"/>
        </w:rPr>
        <w:t>2312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6"/>
        </w:rPr>
        <w:t>，三号，加粗。</w:t>
      </w:r>
      <w:r>
        <w:t xml:space="preserve"> </w:t>
      </w:r>
      <w:r>
        <w:rPr>
          <w:rFonts w:ascii="Times New Roman" w:hAnsi="Times New Roman" w:eastAsia="Times New Roman" w:cs="Times New Roman"/>
          <w:spacing w:val="5"/>
        </w:rPr>
        <w:t>4.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5"/>
        </w:rPr>
        <w:t>三级标题：仿宋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5"/>
        </w:rPr>
        <w:t>2312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5"/>
        </w:rPr>
        <w:t>，三号，加粗。</w:t>
      </w:r>
      <w:r>
        <w:t xml:space="preserve"> </w:t>
      </w:r>
      <w:r>
        <w:rPr>
          <w:rFonts w:ascii="Times New Roman" w:hAnsi="Times New Roman" w:eastAsia="Times New Roman" w:cs="Times New Roman"/>
          <w:spacing w:val="1"/>
        </w:rPr>
        <w:t>5.</w:t>
      </w:r>
      <w:r>
        <w:rPr>
          <w:spacing w:val="1"/>
        </w:rPr>
        <w:t>正文：仿宋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1"/>
        </w:rPr>
        <w:t>2312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1"/>
        </w:rPr>
        <w:t>，三号，</w:t>
      </w:r>
      <w:r>
        <w:rPr>
          <w:spacing w:val="-46"/>
        </w:rPr>
        <w:t xml:space="preserve"> </w:t>
      </w:r>
      <w:r>
        <w:rPr>
          <w:spacing w:val="1"/>
        </w:rPr>
        <w:t>单倍行距。</w:t>
      </w:r>
    </w:p>
    <w:p>
      <w:pPr>
        <w:pStyle w:val="2"/>
        <w:spacing w:before="49" w:line="311" w:lineRule="auto"/>
        <w:ind w:right="1" w:firstLine="647"/>
      </w:pPr>
      <w:r>
        <w:rPr>
          <w:rFonts w:ascii="Times New Roman" w:hAnsi="Times New Roman" w:eastAsia="Times New Roman" w:cs="Times New Roman"/>
          <w:spacing w:val="14"/>
        </w:rPr>
        <w:t>6.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14"/>
        </w:rPr>
        <w:t>附图按照顺序标号，单独建文件夹报送，</w:t>
      </w:r>
      <w:r>
        <w:rPr>
          <w:spacing w:val="-86"/>
        </w:rPr>
        <w:t xml:space="preserve"> </w:t>
      </w:r>
      <w:r>
        <w:rPr>
          <w:spacing w:val="14"/>
        </w:rPr>
        <w:t>图片要与内容</w:t>
      </w:r>
      <w:r>
        <w:t xml:space="preserve"> </w:t>
      </w:r>
      <w:r>
        <w:rPr>
          <w:spacing w:val="14"/>
        </w:rPr>
        <w:t>相对应，文中标注</w:t>
      </w:r>
      <w:r>
        <w:rPr>
          <w:rFonts w:ascii="Times New Roman" w:hAnsi="Times New Roman" w:eastAsia="Times New Roman" w:cs="Times New Roman"/>
          <w:spacing w:val="14"/>
        </w:rPr>
        <w:t>“</w:t>
      </w:r>
      <w:r>
        <w:rPr>
          <w:spacing w:val="14"/>
        </w:rPr>
        <w:t>见图</w:t>
      </w:r>
      <w:r>
        <w:rPr>
          <w:rFonts w:ascii="Times New Roman" w:hAnsi="Times New Roman" w:eastAsia="Times New Roman" w:cs="Times New Roman"/>
          <w:spacing w:val="14"/>
        </w:rPr>
        <w:t>*”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14"/>
        </w:rPr>
        <w:t>。单张图片不小于</w:t>
      </w:r>
      <w:r>
        <w:rPr>
          <w:rFonts w:ascii="Times New Roman" w:hAnsi="Times New Roman" w:eastAsia="Times New Roman" w:cs="Times New Roman"/>
          <w:spacing w:val="14"/>
        </w:rPr>
        <w:t>3M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14"/>
        </w:rPr>
        <w:t>，像素不低于</w:t>
      </w:r>
      <w:r>
        <w:t xml:space="preserve"> </w:t>
      </w:r>
      <w:r>
        <w:rPr>
          <w:rFonts w:ascii="Times New Roman" w:hAnsi="Times New Roman" w:eastAsia="Times New Roman" w:cs="Times New Roman"/>
          <w:spacing w:val="4"/>
        </w:rPr>
        <w:t>2300*1700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4"/>
        </w:rPr>
        <w:t>，每张图片提供文字说明。</w:t>
      </w:r>
    </w:p>
    <w:p>
      <w:pPr>
        <w:spacing w:before="55" w:line="224" w:lineRule="auto"/>
        <w:ind w:left="638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8"/>
          <w:sz w:val="31"/>
          <w:szCs w:val="31"/>
        </w:rPr>
        <w:t>（二）内容</w:t>
      </w:r>
    </w:p>
    <w:p>
      <w:pPr>
        <w:pStyle w:val="2"/>
        <w:spacing w:before="164" w:line="306" w:lineRule="auto"/>
        <w:ind w:left="49" w:right="1" w:firstLine="621"/>
      </w:pPr>
      <w:r>
        <w:rPr>
          <w:rFonts w:ascii="Times New Roman" w:hAnsi="Times New Roman" w:eastAsia="Times New Roman" w:cs="Times New Roman"/>
          <w:spacing w:val="15"/>
        </w:rPr>
        <w:t>1.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15"/>
        </w:rPr>
        <w:t>文章用词准确，减少赘述，力求言简意赅，字数</w:t>
      </w:r>
      <w:r>
        <w:rPr>
          <w:rFonts w:ascii="Times New Roman" w:hAnsi="Times New Roman" w:eastAsia="Times New Roman" w:cs="Times New Roman"/>
          <w:spacing w:val="15"/>
        </w:rPr>
        <w:t>5000</w:t>
      </w:r>
      <w:r>
        <w:rPr>
          <w:spacing w:val="15"/>
        </w:rPr>
        <w:t>字</w:t>
      </w:r>
      <w:r>
        <w:t xml:space="preserve"> </w:t>
      </w:r>
      <w:r>
        <w:rPr>
          <w:spacing w:val="-13"/>
        </w:rPr>
        <w:t>以内。</w:t>
      </w:r>
    </w:p>
    <w:p>
      <w:pPr>
        <w:pStyle w:val="2"/>
        <w:spacing w:before="54" w:line="313" w:lineRule="auto"/>
        <w:ind w:left="12" w:right="1" w:firstLine="628"/>
      </w:pPr>
      <w:r>
        <w:rPr>
          <w:rFonts w:ascii="Times New Roman" w:hAnsi="Times New Roman" w:eastAsia="Times New Roman" w:cs="Times New Roman"/>
          <w:spacing w:val="19"/>
        </w:rPr>
        <w:t>2.</w:t>
      </w:r>
      <w:r>
        <w:rPr>
          <w:spacing w:val="19"/>
        </w:rPr>
        <w:t>案例中所涉及的人名、地名、引语等要准确可靠，涉及</w:t>
      </w:r>
      <w:r>
        <w:rPr>
          <w:spacing w:val="4"/>
        </w:rPr>
        <w:t xml:space="preserve"> </w:t>
      </w:r>
      <w:r>
        <w:rPr>
          <w:spacing w:val="13"/>
        </w:rPr>
        <w:t>获奖情况、业绩等要确保真实；</w:t>
      </w:r>
      <w:r>
        <w:rPr>
          <w:spacing w:val="-81"/>
        </w:rPr>
        <w:t xml:space="preserve"> </w:t>
      </w:r>
      <w:r>
        <w:rPr>
          <w:spacing w:val="13"/>
        </w:rPr>
        <w:t>同一内容的表述（包括简称）</w:t>
      </w:r>
      <w:r>
        <w:t xml:space="preserve"> </w:t>
      </w:r>
      <w:r>
        <w:rPr>
          <w:spacing w:val="16"/>
        </w:rPr>
        <w:t>应确保摘要与正文一致、正文前后一致，确保文字描述</w:t>
      </w:r>
      <w:r>
        <w:rPr>
          <w:spacing w:val="15"/>
        </w:rPr>
        <w:t>特别是</w:t>
      </w:r>
      <w:r>
        <w:t xml:space="preserve"> </w:t>
      </w:r>
      <w:r>
        <w:rPr>
          <w:spacing w:val="7"/>
        </w:rPr>
        <w:t>专业性文字描述的准确性。</w:t>
      </w:r>
    </w:p>
    <w:p>
      <w:pPr>
        <w:pStyle w:val="2"/>
        <w:spacing w:before="56" w:line="313" w:lineRule="auto"/>
        <w:ind w:left="14" w:right="1" w:firstLine="632"/>
      </w:pPr>
      <w:r>
        <w:rPr>
          <w:rFonts w:ascii="Times New Roman" w:hAnsi="Times New Roman" w:eastAsia="Times New Roman" w:cs="Times New Roman"/>
          <w:spacing w:val="9"/>
        </w:rPr>
        <w:t>3.</w:t>
      </w:r>
      <w:r>
        <w:rPr>
          <w:spacing w:val="9"/>
        </w:rPr>
        <w:t>对时间点的表述，不要用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去年</w:t>
      </w:r>
      <w:r>
        <w:rPr>
          <w:rFonts w:ascii="Times New Roman" w:hAnsi="Times New Roman" w:eastAsia="Times New Roman" w:cs="Times New Roman"/>
          <w:spacing w:val="9"/>
        </w:rPr>
        <w:t>”“</w:t>
      </w:r>
      <w:r>
        <w:rPr>
          <w:spacing w:val="9"/>
        </w:rPr>
        <w:t>今年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等表述，应具体、</w:t>
      </w:r>
      <w:r>
        <w:t xml:space="preserve"> </w:t>
      </w:r>
      <w:r>
        <w:rPr>
          <w:spacing w:val="16"/>
        </w:rPr>
        <w:t>明确</w:t>
      </w:r>
      <w:r>
        <w:rPr>
          <w:spacing w:val="-90"/>
        </w:rPr>
        <w:t xml:space="preserve"> </w:t>
      </w:r>
      <w:r>
        <w:rPr>
          <w:spacing w:val="16"/>
        </w:rPr>
        <w:t>，如</w:t>
      </w:r>
      <w:r>
        <w:rPr>
          <w:rFonts w:ascii="Times New Roman" w:hAnsi="Times New Roman" w:eastAsia="Times New Roman" w:cs="Times New Roman"/>
          <w:spacing w:val="16"/>
        </w:rPr>
        <w:t>“2017</w:t>
      </w:r>
      <w:r>
        <w:rPr>
          <w:spacing w:val="16"/>
        </w:rPr>
        <w:t>年</w:t>
      </w:r>
      <w:r>
        <w:rPr>
          <w:rFonts w:ascii="Times New Roman" w:hAnsi="Times New Roman" w:eastAsia="Times New Roman" w:cs="Times New Roman"/>
          <w:spacing w:val="16"/>
        </w:rPr>
        <w:t>”“2018</w:t>
      </w:r>
      <w:r>
        <w:rPr>
          <w:spacing w:val="16"/>
        </w:rPr>
        <w:t>年</w:t>
      </w:r>
      <w:r>
        <w:rPr>
          <w:rFonts w:ascii="Times New Roman" w:hAnsi="Times New Roman" w:eastAsia="Times New Roman" w:cs="Times New Roman"/>
          <w:spacing w:val="16"/>
        </w:rPr>
        <w:t>”</w:t>
      </w:r>
      <w:r>
        <w:rPr>
          <w:spacing w:val="16"/>
        </w:rPr>
        <w:t>等；</w:t>
      </w:r>
      <w:r>
        <w:rPr>
          <w:spacing w:val="-86"/>
        </w:rPr>
        <w:t xml:space="preserve"> </w:t>
      </w:r>
      <w:r>
        <w:rPr>
          <w:spacing w:val="16"/>
        </w:rPr>
        <w:t>对时间段的</w:t>
      </w:r>
      <w:r>
        <w:rPr>
          <w:spacing w:val="15"/>
        </w:rPr>
        <w:t>表述不要用</w:t>
      </w:r>
      <w:r>
        <w:rPr>
          <w:rFonts w:ascii="Times New Roman" w:hAnsi="Times New Roman" w:eastAsia="Times New Roman" w:cs="Times New Roman"/>
          <w:spacing w:val="15"/>
        </w:rPr>
        <w:t>“10</w:t>
      </w:r>
      <w:r>
        <w:rPr>
          <w:spacing w:val="15"/>
        </w:rPr>
        <w:t>年</w:t>
      </w:r>
      <w:r>
        <w:t xml:space="preserve"> </w:t>
      </w:r>
      <w:r>
        <w:rPr>
          <w:spacing w:val="12"/>
        </w:rPr>
        <w:t>前</w:t>
      </w:r>
      <w:r>
        <w:rPr>
          <w:rFonts w:ascii="Times New Roman" w:hAnsi="Times New Roman" w:eastAsia="Times New Roman" w:cs="Times New Roman"/>
          <w:spacing w:val="12"/>
        </w:rPr>
        <w:t>”“15</w:t>
      </w:r>
      <w:r>
        <w:rPr>
          <w:spacing w:val="12"/>
        </w:rPr>
        <w:t>年以来</w:t>
      </w:r>
      <w:r>
        <w:rPr>
          <w:rFonts w:ascii="Times New Roman" w:hAnsi="Times New Roman" w:eastAsia="Times New Roman" w:cs="Times New Roman"/>
          <w:spacing w:val="12"/>
        </w:rPr>
        <w:t>”“</w:t>
      </w:r>
      <w:r>
        <w:rPr>
          <w:spacing w:val="12"/>
        </w:rPr>
        <w:t>截至目前</w:t>
      </w:r>
      <w:r>
        <w:rPr>
          <w:rFonts w:ascii="Times New Roman" w:hAnsi="Times New Roman" w:eastAsia="Times New Roman" w:cs="Times New Roman"/>
          <w:spacing w:val="12"/>
        </w:rPr>
        <w:t>”“</w:t>
      </w:r>
      <w:r>
        <w:rPr>
          <w:spacing w:val="12"/>
        </w:rPr>
        <w:t>年内</w:t>
      </w:r>
      <w:r>
        <w:rPr>
          <w:rFonts w:ascii="Times New Roman" w:hAnsi="Times New Roman" w:eastAsia="Times New Roman" w:cs="Times New Roman"/>
          <w:spacing w:val="12"/>
        </w:rPr>
        <w:t>”</w:t>
      </w:r>
      <w:r>
        <w:rPr>
          <w:spacing w:val="12"/>
        </w:rPr>
        <w:t>等提法，要注明时间段的起止</w:t>
      </w:r>
      <w:r>
        <w:rPr>
          <w:spacing w:val="10"/>
        </w:rPr>
        <w:t xml:space="preserve"> </w:t>
      </w:r>
      <w:r>
        <w:rPr>
          <w:spacing w:val="6"/>
        </w:rPr>
        <w:t>点，如</w:t>
      </w:r>
      <w:r>
        <w:rPr>
          <w:rFonts w:ascii="Times New Roman" w:hAnsi="Times New Roman" w:eastAsia="Times New Roman" w:cs="Times New Roman"/>
          <w:spacing w:val="6"/>
        </w:rPr>
        <w:t>“2015</w:t>
      </w:r>
      <w:r>
        <w:rPr>
          <w:spacing w:val="6"/>
        </w:rPr>
        <w:t>年以来</w:t>
      </w:r>
      <w:r>
        <w:rPr>
          <w:rFonts w:ascii="Times New Roman" w:hAnsi="Times New Roman" w:eastAsia="Times New Roman" w:cs="Times New Roman"/>
          <w:spacing w:val="6"/>
        </w:rPr>
        <w:t>”“</w:t>
      </w:r>
      <w:r>
        <w:rPr>
          <w:spacing w:val="6"/>
        </w:rPr>
        <w:t>截至</w:t>
      </w:r>
      <w:r>
        <w:rPr>
          <w:rFonts w:ascii="Times New Roman" w:hAnsi="Times New Roman" w:eastAsia="Times New Roman" w:cs="Times New Roman"/>
          <w:spacing w:val="6"/>
        </w:rPr>
        <w:t>2020</w:t>
      </w:r>
      <w:r>
        <w:rPr>
          <w:spacing w:val="6"/>
        </w:rPr>
        <w:t>年</w:t>
      </w:r>
      <w:r>
        <w:rPr>
          <w:rFonts w:ascii="Times New Roman" w:hAnsi="Times New Roman" w:eastAsia="Times New Roman" w:cs="Times New Roman"/>
          <w:spacing w:val="6"/>
        </w:rPr>
        <w:t>”“2019</w:t>
      </w:r>
      <w:r>
        <w:rPr>
          <w:spacing w:val="6"/>
        </w:rPr>
        <w:t>年内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5"/>
        </w:rPr>
        <w:t>等。</w:t>
      </w:r>
    </w:p>
    <w:p>
      <w:pPr>
        <w:pStyle w:val="2"/>
        <w:spacing w:before="56" w:line="314" w:lineRule="auto"/>
        <w:ind w:right="1" w:firstLine="638"/>
      </w:pPr>
      <w:r>
        <w:rPr>
          <w:rFonts w:ascii="Times New Roman" w:hAnsi="Times New Roman" w:eastAsia="Times New Roman" w:cs="Times New Roman"/>
          <w:spacing w:val="17"/>
        </w:rPr>
        <w:t>4.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17"/>
        </w:rPr>
        <w:t>涉及产值、人均收入、人均纯收入等数据要准确，如果</w:t>
      </w:r>
      <w:r>
        <w:t xml:space="preserve"> </w:t>
      </w:r>
      <w:r>
        <w:rPr>
          <w:spacing w:val="14"/>
        </w:rPr>
        <w:t>不能特别精准可以用概数或者约数；</w:t>
      </w:r>
      <w:r>
        <w:rPr>
          <w:spacing w:val="-84"/>
        </w:rPr>
        <w:t xml:space="preserve"> </w:t>
      </w:r>
      <w:r>
        <w:rPr>
          <w:spacing w:val="14"/>
        </w:rPr>
        <w:t>同一数</w:t>
      </w:r>
      <w:r>
        <w:rPr>
          <w:spacing w:val="13"/>
        </w:rPr>
        <w:t>据的总数与分数应</w:t>
      </w:r>
      <w:r>
        <w:t xml:space="preserve"> </w:t>
      </w:r>
      <w:r>
        <w:rPr>
          <w:spacing w:val="26"/>
        </w:rPr>
        <w:t>相对应</w:t>
      </w:r>
      <w:r>
        <w:rPr>
          <w:spacing w:val="-80"/>
        </w:rPr>
        <w:t xml:space="preserve"> </w:t>
      </w:r>
      <w:r>
        <w:rPr>
          <w:spacing w:val="26"/>
        </w:rPr>
        <w:t>，做到前后一致；相关数据的单位应统一使用中文单</w:t>
      </w:r>
      <w:r>
        <w:t xml:space="preserve"> </w:t>
      </w:r>
      <w:r>
        <w:rPr>
          <w:spacing w:val="6"/>
        </w:rPr>
        <w:t>位，如公里、公斤、克等，不使用</w:t>
      </w:r>
      <w:r>
        <w:rPr>
          <w:rFonts w:ascii="Times New Roman" w:hAnsi="Times New Roman" w:eastAsia="Times New Roman" w:cs="Times New Roman"/>
        </w:rPr>
        <w:t>km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6"/>
        </w:rPr>
        <w:t>、</w:t>
      </w:r>
      <w:r>
        <w:rPr>
          <w:rFonts w:ascii="Times New Roman" w:hAnsi="Times New Roman" w:eastAsia="Times New Roman" w:cs="Times New Roman"/>
        </w:rPr>
        <w:t>kg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6"/>
        </w:rPr>
        <w:t>、</w:t>
      </w:r>
      <w:r>
        <w:rPr>
          <w:rFonts w:ascii="Times New Roman" w:hAnsi="Times New Roman" w:eastAsia="Times New Roman" w:cs="Times New Roman"/>
          <w:spacing w:val="6"/>
        </w:rPr>
        <w:t>g</w:t>
      </w:r>
      <w:r>
        <w:rPr>
          <w:spacing w:val="6"/>
        </w:rPr>
        <w:t>等。</w:t>
      </w:r>
    </w:p>
    <w:p/>
    <w:sectPr>
      <w:footerReference r:id="rId6" w:type="default"/>
      <w:pgSz w:w="11883" w:h="16860"/>
      <w:pgMar w:top="1433" w:right="1530" w:bottom="1190" w:left="1537" w:header="0" w:footer="91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hint="eastAsia" w:ascii="宋体" w:hAnsi="宋体" w:eastAsia="宋体" w:cs="宋体"/>
        <w:spacing w:val="-6"/>
        <w:sz w:val="28"/>
        <w:szCs w:val="28"/>
        <w:lang w:val="en-US" w:eastAsia="zh-CN"/>
      </w:rPr>
      <w:t>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2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hint="eastAsia" w:ascii="宋体" w:hAnsi="宋体" w:eastAsia="宋体" w:cs="宋体"/>
        <w:spacing w:val="-11"/>
        <w:sz w:val="28"/>
        <w:szCs w:val="28"/>
        <w:lang w:val="en-US" w:eastAsia="zh-CN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M2FhZDIzZWY1NjIwNGM1ZTUwNDIwMmFkMTU0N2IifQ=="/>
  </w:docVars>
  <w:rsids>
    <w:rsidRoot w:val="12BD1D29"/>
    <w:rsid w:val="12BD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2024-06-24T07:07:00Z</dcterms:created>
  <dc:creator>王婷</dc:creator>
  <cp:lastModifiedBy>王婷</cp:lastModifiedBy>
  <dcterms:modified xsi:type="dcterms:W3CDTF">2024-06-24T07:08:33Z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38F1F19D639B4FC3B506E243788F5D95_11</vt:lpwstr>
  </property>
</Properties>
</file>